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Основные положения учетной политики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муниципального бюджетного учреждения здравоохранения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«Городская поликлиника №1 » г. Таганрога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для публичного раскрытия на официальном сайте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в информационно — телекоммуникационной  сети «Интернет»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в соответствии с приказом Министерства финансов Российской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Федерации    от   30  декабря  2017 г. №  274н  «Об утверждении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федерального стандарта  бухгалтерского  учета для организаций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государственного    сектора    «Учетная   политика,    оценочные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значения и ошибки»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 xml:space="preserve">Организация и ведение бухгалтерского учета и формирование бухгалтерской отчетности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муниципального бюджетного учреждения здравоохранения «Городская поликлиника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>№1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»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регламентируется требованиями Федерального закона от 6 декабря 2011 г. № 402-ФЗ (далее — Закон № 402-ФЗ) с учетом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>положений следующих приказов Министерства финансов Российской Федерации</w:t>
      </w:r>
      <w:r>
        <w:rPr>
          <w:b w:val="false"/>
          <w:bCs w:val="false"/>
          <w:shd w:fill="FFFFFF" w:val="clear"/>
        </w:rPr>
        <w:t>: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Fonts w:ascii="Times New Roman" w:hAnsi="Times New Roman"/>
          <w:sz w:val="26"/>
          <w:szCs w:val="26"/>
          <w:shd w:fill="FFFFFF" w:val="clear"/>
        </w:rPr>
        <w:t xml:space="preserve">с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"/document/99/902249301/"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приказом Минфина от 01.12.2010 № 157н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к Единому плану счетов № 157н);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"/document/99/902254660/"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приказом Минфина от 16.12.2010 № 174н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«Об утверждении Плана счетов бухгалтерского учета бюджетных учреждений и Инструкции по его применению» (далее – Инструкция № 174н);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"/document/99/560411832/"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приказом Минфина от 06.06.2019 № 85н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 (далее – приказ № 85н);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"/document/99/555944502/"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приказом Минфина от 29.11.2017 № 209н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«Об утверждении Порядка применения классификации операций сектора государственного управления» (далее – приказ № 209н);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"/document/99/420266549/"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приказом Минфина от 30.03.2015 № 52н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both"/>
        <w:rPr/>
      </w:pPr>
      <w:r>
        <w:rPr>
          <w:rFonts w:ascii="Times New Roman" w:hAnsi="Times New Roman"/>
          <w:sz w:val="26"/>
          <w:szCs w:val="26"/>
          <w:shd w:fill="FFFFFF" w:val="clear"/>
        </w:rPr>
        <w:t xml:space="preserve">федеральными стандартами бухгалтерского учета государственных финансов, утвержденными приказами Минфина от 31.12.2016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"/document/99/420388973/"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№ 256н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"/document/99/420389698/"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257н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>, 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"/document/99/420389699/"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258н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"/document/99/420388972/"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259н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"/document/99/420389697/"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260н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соответственно СГС «Концептуальные основы бухучета и отчетности». СГС «Основные средства», СГС «Аренда», СГС «Обесценение активов», СГС «Представление бухгалтерской (финансовой) отчетности»), от 30.12.2017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"/document/99/542618106/"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№ 274н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"/document/99/542618140/"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275н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>, 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"/document/99/542618111/"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278н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соответственно СГС «Учетная политика, оценочные значения и ошибки», СГС «События после отчетной даты»,  СГС «Отчет о движении денежных средств»),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"/document/99/542619320/"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от 27.02.2018 № 32н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СГС «Доходы»),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"/document/99/542619659/"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от 28.02.2018 № 34н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СГС «Непроизведенные активы»), от 30.05.2018 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"/document/99/542627357/"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124н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соответственно  СГС «Резервы»),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"/document/99/542638393/"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от 07.12.2018 № 256н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СГС «Запасы»),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"/document/99/542631865/"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 xml:space="preserve">от 29.06.2018 № 145н 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(далее – СГС «Долгосрочные договоры»), от 15.11.2019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"/document/99/563895829/"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№ 181н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, </w:t>
      </w:r>
      <w:r>
        <w:fldChar w:fldCharType="begin"/>
      </w:r>
      <w:r>
        <w:rPr>
          <w:sz w:val="26"/>
          <w:shd w:fill="FFFFFF" w:val="clear"/>
          <w:szCs w:val="26"/>
          <w:rFonts w:ascii="Times New Roman" w:hAnsi="Times New Roman"/>
        </w:rPr>
        <w:instrText> HYPERLINK "https://www.gosfinansy.ru/" \l "/document/99/563895827/"</w:instrText>
      </w:r>
      <w:r>
        <w:rPr>
          <w:sz w:val="26"/>
          <w:shd w:fill="FFFFFF" w:val="clear"/>
          <w:szCs w:val="26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6"/>
          <w:szCs w:val="26"/>
          <w:shd w:fill="FFFFFF" w:val="clear"/>
        </w:rPr>
        <w:t>184н</w:t>
      </w:r>
      <w:r>
        <w:rPr>
          <w:sz w:val="26"/>
          <w:shd w:fill="FFFFFF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соответственно СГС «Нематериальные активы»,  СГС «Выплаты персоналу»).</w:t>
      </w:r>
    </w:p>
    <w:p>
      <w:pPr>
        <w:pStyle w:val="Style17"/>
        <w:bidi w:val="0"/>
        <w:jc w:val="both"/>
        <w:rPr/>
      </w:pPr>
      <w:r>
        <w:rPr>
          <w:rFonts w:ascii="Times New Roman" w:hAnsi="Times New Roman"/>
          <w:sz w:val="26"/>
          <w:szCs w:val="26"/>
          <w:shd w:fill="FFFFFF" w:val="clear"/>
        </w:rPr>
        <w:tab/>
      </w:r>
      <w:r>
        <w:rPr>
          <w:rFonts w:ascii="Times New Roman" w:hAnsi="Times New Roman"/>
          <w:sz w:val="26"/>
          <w:szCs w:val="26"/>
          <w:shd w:fill="FFFFFF" w:val="clear"/>
          <w:lang w:val="ru-RU"/>
        </w:rPr>
        <w:t>Ведение бухгалтерского учета осуществляется в соответствии с приказом от 29 декабря 2018 года № 987 «Об утверждении учетной политики для целей бухгалтерского учета» с последующими изменениями и дополнениями, а также иными документами муниципального бюджетного учреждения здравоохранения «Городская поликлиника №1» (далее — МБУЗ «ГП №1»), включая ежегодные приказы:</w:t>
      </w:r>
    </w:p>
    <w:p>
      <w:pPr>
        <w:pStyle w:val="Style17"/>
        <w:bidi w:val="0"/>
        <w:jc w:val="both"/>
        <w:rPr>
          <w:rFonts w:ascii="Times New Roman" w:hAnsi="Times New Roman"/>
          <w:sz w:val="26"/>
          <w:szCs w:val="26"/>
          <w:shd w:fill="FFFFFF" w:val="clear"/>
          <w:lang w:val="ru-RU"/>
        </w:rPr>
      </w:pPr>
      <w:r>
        <w:rPr>
          <w:rFonts w:ascii="Times New Roman" w:hAnsi="Times New Roman"/>
          <w:sz w:val="26"/>
          <w:szCs w:val="26"/>
          <w:shd w:fill="FFFFFF" w:val="clear"/>
          <w:lang w:val="ru-RU"/>
        </w:rPr>
        <w:t>- о проведении инвентаризаций объектов учета в МБУЗ «ГП №1»,</w:t>
      </w:r>
    </w:p>
    <w:p>
      <w:pPr>
        <w:pStyle w:val="Style17"/>
        <w:bidi w:val="0"/>
        <w:jc w:val="both"/>
        <w:rPr/>
      </w:pPr>
      <w:r>
        <w:rPr>
          <w:rFonts w:ascii="Times New Roman" w:hAnsi="Times New Roman"/>
          <w:sz w:val="26"/>
          <w:szCs w:val="26"/>
          <w:shd w:fill="FFFFFF" w:val="clear"/>
          <w:lang w:val="ru-RU"/>
        </w:rPr>
        <w:t xml:space="preserve">- </w:t>
      </w:r>
      <w:r>
        <w:rPr>
          <w:rFonts w:ascii="Times New Roman" w:hAnsi="Times New Roman"/>
          <w:sz w:val="26"/>
          <w:szCs w:val="26"/>
          <w:shd w:fill="FFFFFF" w:val="clear"/>
          <w:lang w:val="ru-RU"/>
        </w:rPr>
        <w:t>о персональном составе комиссий по поступлению и выбытию активов,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основные средства,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получение, выдачу, хранение и учет медикаментов,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получение, выдачу, хранение и учет бланков строгой отчетности,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ведение табеля учета рабочего времени,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проведение предрейсовых, послерейсовых  медицинских осмотров водителей автотранспортных средств,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об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ых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ах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эксплуатацию автотранспорта,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водоснабжение и потребление воды,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об </w:t>
      </w:r>
      <w:r>
        <w:rPr>
          <w:rFonts w:cs="Times New Roman" w:ascii="Times New Roman" w:hAnsi="Times New Roman"/>
          <w:color w:val="000000"/>
          <w:sz w:val="26"/>
          <w:szCs w:val="26"/>
        </w:rPr>
        <w:t>ответственны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лица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х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за электрохозяйство.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>В поликлинике создан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ы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тарификационная комиссия, закупочная комиссия, приемочные комиссии, контрактная служба. Составы комиссий и их персональный состав определяются  отдельными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приказам</w:t>
      </w:r>
      <w:r>
        <w:rPr>
          <w:rFonts w:cs="Times New Roman" w:ascii="Times New Roman" w:hAnsi="Times New Roman"/>
          <w:color w:val="000000"/>
          <w:sz w:val="26"/>
          <w:szCs w:val="26"/>
        </w:rPr>
        <w:t>и по учреждению.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В поликлинике отдельным приказом по учреждению утверждается перечень лиц, имеющих право подписи первичных документов. Также отдельными приказами по учреждению определяется порядок приемки товаров, работ, услуг.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Также отдельными приказами в МБУЗ  «ГП №1» определен круг лиц, имеющих право электронно — цифровой подписи документов.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Бухгалтерский учет осуществляет бухгалтерия МБУЗ «ГП №1». При формировании фактов хозяйственной жизни применяются  унифицированны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 форм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ы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 первичных документов,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в соответствии с приказом Минфина России № 52н. </w:t>
      </w:r>
      <w:r>
        <w:rPr>
          <w:rFonts w:cs="Times New Roman" w:ascii="Times New Roman" w:hAnsi="Times New Roman"/>
          <w:color w:val="000000"/>
          <w:sz w:val="26"/>
          <w:szCs w:val="26"/>
        </w:rPr>
        <w:t>При проведении хозяйственных операций, для оформления которых не предусмотрены унифицированные формы первичных документов из приказа № 52н, учреждение использует:</w:t>
      </w:r>
    </w:p>
    <w:p>
      <w:pPr>
        <w:pStyle w:val="Style21"/>
        <w:tabs>
          <w:tab w:val="clear" w:pos="709"/>
          <w:tab w:val="left" w:pos="1636" w:leader="none"/>
          <w:tab w:val="left" w:pos="2552" w:leader="none"/>
          <w:tab w:val="left" w:pos="3468" w:leader="none"/>
          <w:tab w:val="left" w:pos="4384" w:leader="none"/>
          <w:tab w:val="left" w:pos="5300" w:leader="none"/>
          <w:tab w:val="left" w:pos="6216" w:leader="none"/>
          <w:tab w:val="left" w:pos="7132" w:leader="none"/>
          <w:tab w:val="left" w:pos="8048" w:leader="none"/>
          <w:tab w:val="left" w:pos="8964" w:leader="none"/>
          <w:tab w:val="left" w:pos="9880" w:leader="none"/>
          <w:tab w:val="left" w:pos="10796" w:leader="none"/>
          <w:tab w:val="left" w:pos="11712" w:leader="none"/>
          <w:tab w:val="left" w:pos="12628" w:leader="none"/>
          <w:tab w:val="left" w:pos="13544" w:leader="none"/>
          <w:tab w:val="left" w:pos="14460" w:leader="none"/>
          <w:tab w:val="left" w:pos="15376" w:leader="none"/>
        </w:tabs>
        <w:bidi w:val="0"/>
        <w:ind w:left="720" w:right="0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* унифицированные формы из приказа № 52н, дополненные необходимыми реквизитами;</w:t>
      </w:r>
    </w:p>
    <w:p>
      <w:pPr>
        <w:pStyle w:val="Style21"/>
        <w:tabs>
          <w:tab w:val="clear" w:pos="709"/>
          <w:tab w:val="left" w:pos="1636" w:leader="none"/>
          <w:tab w:val="left" w:pos="2552" w:leader="none"/>
          <w:tab w:val="left" w:pos="3468" w:leader="none"/>
          <w:tab w:val="left" w:pos="4384" w:leader="none"/>
          <w:tab w:val="left" w:pos="5300" w:leader="none"/>
          <w:tab w:val="left" w:pos="6216" w:leader="none"/>
          <w:tab w:val="left" w:pos="7132" w:leader="none"/>
          <w:tab w:val="left" w:pos="8048" w:leader="none"/>
          <w:tab w:val="left" w:pos="8964" w:leader="none"/>
          <w:tab w:val="left" w:pos="9880" w:leader="none"/>
          <w:tab w:val="left" w:pos="10796" w:leader="none"/>
          <w:tab w:val="left" w:pos="11712" w:leader="none"/>
          <w:tab w:val="left" w:pos="12628" w:leader="none"/>
          <w:tab w:val="left" w:pos="13544" w:leader="none"/>
          <w:tab w:val="left" w:pos="14460" w:leader="none"/>
          <w:tab w:val="left" w:pos="15376" w:leader="none"/>
        </w:tabs>
        <w:bidi w:val="0"/>
        <w:ind w:left="720" w:right="0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* унифицированные формы из других нормативно-правовых актов;</w:t>
      </w:r>
    </w:p>
    <w:p>
      <w:pPr>
        <w:pStyle w:val="Style21"/>
        <w:tabs>
          <w:tab w:val="clear" w:pos="709"/>
          <w:tab w:val="left" w:pos="1636" w:leader="none"/>
          <w:tab w:val="left" w:pos="2552" w:leader="none"/>
          <w:tab w:val="left" w:pos="3468" w:leader="none"/>
          <w:tab w:val="left" w:pos="4384" w:leader="none"/>
          <w:tab w:val="left" w:pos="5300" w:leader="none"/>
          <w:tab w:val="left" w:pos="6216" w:leader="none"/>
          <w:tab w:val="left" w:pos="7132" w:leader="none"/>
          <w:tab w:val="left" w:pos="8048" w:leader="none"/>
          <w:tab w:val="left" w:pos="8964" w:leader="none"/>
          <w:tab w:val="left" w:pos="9880" w:leader="none"/>
          <w:tab w:val="left" w:pos="10796" w:leader="none"/>
          <w:tab w:val="left" w:pos="11712" w:leader="none"/>
          <w:tab w:val="left" w:pos="12628" w:leader="none"/>
          <w:tab w:val="left" w:pos="13544" w:leader="none"/>
          <w:tab w:val="left" w:pos="14460" w:leader="none"/>
          <w:tab w:val="left" w:pos="15376" w:leader="none"/>
        </w:tabs>
        <w:bidi w:val="0"/>
        <w:ind w:left="720" w:right="0" w:hang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*самостоятельно разработанные формы.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С использованием телекоммуникационных каналов связи, электронной подписи бухгалтерия поликлиники осуществляет электронный документооборот по следующим направлениям: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система электронного документооборота с территориальным органом Казначейства России;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передача бухгалтерской отчетности учредителю, инспекции Федеральной налоговой службы 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передача отчетности по налогам, сборам и иным обязательным платежам в инспекцию федеральной налоговой службы;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передача отчетности по страховым взносам и сведениям персонифицированного учета;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размещение информации о деятельности учреждения на официальном сайте </w:t>
      </w:r>
      <w:r>
        <w:rPr>
          <w:rFonts w:cs="Times New Roman" w:ascii="Times New Roman" w:hAnsi="Times New Roman"/>
          <w:sz w:val="26"/>
          <w:szCs w:val="26"/>
          <w:lang w:val="en-US"/>
        </w:rPr>
        <w:t>bus.gov.ru;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>передача отчетов в Росприроднадзор;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передача отчетности в Росстат;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-получение первичных документов от поставщиков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ru-RU"/>
        </w:rPr>
        <w:t>и передача пост</w:t>
      </w:r>
      <w:r>
        <w:rPr>
          <w:rFonts w:cs="Times New Roman" w:ascii="Times New Roman" w:hAnsi="Times New Roman"/>
          <w:sz w:val="26"/>
          <w:szCs w:val="26"/>
          <w:lang w:val="ru-RU"/>
        </w:rPr>
        <w:t>а</w:t>
      </w:r>
      <w:r>
        <w:rPr>
          <w:rFonts w:cs="Times New Roman" w:ascii="Times New Roman" w:hAnsi="Times New Roman"/>
          <w:sz w:val="26"/>
          <w:szCs w:val="26"/>
          <w:lang w:val="ru-RU"/>
        </w:rPr>
        <w:t>вщикам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(если это предусмотрено заключенными договорами)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Отдельными приказами по учреждению определены: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* ответственные лица за осуществление электронного обмена с ФНС, ПФР, ФСС, Росстатом;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* ответственные лица за осуществление электронного обмена с отделом №15 Управления Федерального казначейства по Ростовской области;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* </w:t>
      </w:r>
      <w:r>
        <w:rPr>
          <w:rFonts w:cs="Times New Roman" w:ascii="Times New Roman" w:hAnsi="Times New Roman"/>
          <w:sz w:val="26"/>
          <w:szCs w:val="26"/>
          <w:lang w:val="ru-RU"/>
        </w:rPr>
        <w:t>ответственные лица за осуществление электронного обмена с поставщиками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В учреждении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действу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ю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т: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Положение о бухгалтерии;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- Положение о комиссии по поступлению и выбытию активов;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Положение о формах и порядке формирования регистров бухгалтерского учета, первичных документов и порядке архивации;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 xml:space="preserve">Положение о формах и порядке формирования регистров бухгалтерского учета, первичных документов и порядке </w:t>
      </w: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архивации;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  <w:t>-  П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оложением о внутреннем финансовом контроле;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 xml:space="preserve">- 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Положение о признании дебиторской задолженности сомнительной или безнадежной к взысканию;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- Порядок принятия обязательств;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- Порядок признания в бухгалтерском учете и раскрытия в бухгалтерской (финансовой) отчетности события после отчетной даты;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- порядок проведения инвентаризации активов и обязательств.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Рабочий план счетов бухгалтерского учета разработан в соответствии с Инструкциями № 157н и 174н.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  <w:t>Бухгалтерский учет ведется с использованием программ автоматизации бухгалтерского учета.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При проведении  инвентаризации, перед составлением годовой отчетности признаются результаты, проведенной не ранее 01 октября отчетного года.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  <w:t xml:space="preserve">В табеле учета использования рабочего времени регистрируются случаи отклонений от нормального 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>использования рабочего времени, установленного правилами внутреннего трудового распорядка.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  <w:t>Состав инвентарного объекта при признании и выбытии объекта (объектов) основных средств определяется комиссией по приемке и выбытию активов.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  <w:t>Начисление амортизации производится объекта основных средств производится линейным методом.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FFFFFF" w:val="clear"/>
          <w:lang w:val="ru-RU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>Ответственными за хранение технической документации на объекты основных средств являются ответственные лица, за которыми они закреплены. Если на основное средство производитель (поставщик) предусмотрел гарантийный срок, то гарантийные талоны хранятся в контрактной службе.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>Событие после отчетной даты отражается в бухгалтерском учете и раскрывается в отчетности в соответствии с положениями приказа №275н. Событие после отчетной даты признается существенным, в случае, когда информация, раскрываемая в отчетности о нем является существенной информацией.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ab/>
        <w:t>Резерв предстоящих расходов формируется в сумме отложенных обязательств на оплату отпусков в части выплат персоналу и в части оплаты страховых взносов.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ab/>
        <w:t xml:space="preserve">МБУЗ «ГП №1» формирует и представляет месячную, квартальную и годовую отчетность об исполнении плана финансово — хозяйственной деятельности в порядке и сроки, установленные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 xml:space="preserve">законодательством.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ab/>
        <w:t xml:space="preserve">Основные положения учетной политики применяются одновременно с иными документами учетной политики, оформленными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  <w:t>приказами МБУЗ «ГП №1».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  <w:lang w:val="ru-RU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Абзац списка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</TotalTime>
  <Application>LibreOffice/7.1.2.2$Windows_X86_64 LibreOffice_project/8a45595d069ef5570103caea1b71cc9d82b2aae4</Application>
  <AppVersion>15.0000</AppVersion>
  <Pages>4</Pages>
  <Words>1079</Words>
  <Characters>7749</Characters>
  <CharactersWithSpaces>8834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2022-05-23T11:27:05Z</cp:lastPrinted>
  <dcterms:modified xsi:type="dcterms:W3CDTF">2022-05-23T11:34:46Z</dcterms:modified>
  <cp:revision>37</cp:revision>
  <dc:subject/>
  <dc:title/>
</cp:coreProperties>
</file>